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24/04-1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1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Коколюс Я.В.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керівника)</w:t>
            </w:r>
          </w:p>
        </w:tc>
      </w:tr>
    </w:tbl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"Стрийська швейна фабрика "Стрітекс"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</w:t>
      </w:r>
      <w:r>
        <w:rPr>
          <w:rFonts w:ascii="Times New Roman CYR" w:hAnsi="Times New Roman CYR" w:cs="Times New Roman CYR"/>
          <w:sz w:val="24"/>
          <w:szCs w:val="24"/>
        </w:rPr>
        <w:t>ва форма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82400 Стрий, Новаківського 5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05468127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0324552104, 0324552104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vk@stritex.com.ua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оприлюднення ре</w:t>
      </w:r>
      <w:r>
        <w:rPr>
          <w:rFonts w:ascii="Times New Roman CYR" w:hAnsi="Times New Roman CYR" w:cs="Times New Roman CYR"/>
          <w:sz w:val="24"/>
          <w:szCs w:val="24"/>
        </w:rPr>
        <w:t>гульованої інформації від імені учасника фондового ринку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804, DR/00001/APA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2200"/>
        <w:gridCol w:w="33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ідомлення розміщено на власному веб-сайті учасника фондового ринку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www.stritex.com.ua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(адреса сторінки)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1400" w:header="708" w:footer="708" w:gutter="0"/>
          <w:cols w:space="720"/>
          <w:noEndnote/>
        </w:sectPr>
      </w:pP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000000" w:rsidRDefault="00EB5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Войтович Олег Миколайович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загальних зборах акціонерів, що відбулися 24/04/2019 було прийнято рішення про переобрання голови наглядової ради Войтовича Олега Миколайовича, як представника компанії "Квінтет Денмарк А/С".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Тютько Андрій Богданович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загальних зборах акціонерів, що відбулися 24/04/2019 було прийнято рішення про переобрання члена наглядової ради Тютька Андрія Богдановича.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Хомяк Ірина Семенівна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0,113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EB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загальних зборах акціонерів, що відбулися 24/04/2019 було прийнято рішення про переобрання члена наглядової ради  Хом'як Ірини Семенівни.</w:t>
            </w:r>
          </w:p>
        </w:tc>
      </w:tr>
    </w:tbl>
    <w:p w:rsidR="00EB5914" w:rsidRDefault="00EB5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EB5914">
      <w:pgSz w:w="16838" w:h="11906" w:orient="landscape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B9"/>
    <w:rsid w:val="006754B9"/>
    <w:rsid w:val="00E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0F7604-1D04-42CC-B816-FB6B44A1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Kokolus Volodymyr</dc:creator>
  <cp:keywords/>
  <dc:description/>
  <cp:lastModifiedBy>Kokolus Volodymyr</cp:lastModifiedBy>
  <cp:revision>2</cp:revision>
  <dcterms:created xsi:type="dcterms:W3CDTF">2019-04-24T06:45:00Z</dcterms:created>
  <dcterms:modified xsi:type="dcterms:W3CDTF">2019-04-24T06:45:00Z</dcterms:modified>
</cp:coreProperties>
</file>